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6E" w:rsidRDefault="00E5386E" w:rsidP="00E5386E">
      <w:r>
        <w:t xml:space="preserve">YARGITAY KARARLARI IŞIĞINDA İŞVEREN HAKLARI </w:t>
      </w:r>
    </w:p>
    <w:p w:rsidR="00E5386E" w:rsidRPr="00000BBA" w:rsidRDefault="00E5386E" w:rsidP="00E5386E">
      <w:pPr>
        <w:rPr>
          <w:i/>
          <w:u w:val="single"/>
        </w:rPr>
      </w:pPr>
      <w:r w:rsidRPr="00000BBA">
        <w:rPr>
          <w:i/>
          <w:u w:val="single"/>
        </w:rPr>
        <w:t>Eğitimin Amacı: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İşveren haklarının bilinmesi personel yönetiminin ve iş disiplininin bu kararlar doğrultusunda yönetilmesi,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İşverenlerin ağır para cezaları ve diğer müeyyidelerle karşılaşmaması,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 w:rsidR="00104654">
        <w:t xml:space="preserve"> İşletmelerin i</w:t>
      </w:r>
      <w:r>
        <w:t>ş ma</w:t>
      </w:r>
      <w:r w:rsidR="00104654">
        <w:t>hkemelerinde ve Çalışma Sosyal G</w:t>
      </w:r>
      <w:r>
        <w:t>üvenlik Bakanlığı tarafından yapılacak denetlemelerde hazır olması ve eksiklerinin fark edilip giderilmesi,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Yargıtay kararları ve </w:t>
      </w:r>
      <w:proofErr w:type="spellStart"/>
      <w:r>
        <w:t>özelgeler</w:t>
      </w:r>
      <w:proofErr w:type="spellEnd"/>
      <w:r>
        <w:t xml:space="preserve"> neticesinde işverenler tarafından yapılan yersiz ödemeler ve hesaplama hataları tespit edilmesi,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Personel aylık bordrolarında yapılan yanlış hesaplamalardan işverenin yüklendiği maliyetlerin fark edilmesi giderilmesi,</w:t>
      </w:r>
    </w:p>
    <w:p w:rsidR="00000BBA" w:rsidRDefault="00000BBA" w:rsidP="00000BBA">
      <w:pPr>
        <w:contextualSpacing/>
      </w:pPr>
    </w:p>
    <w:p w:rsidR="00E5386E" w:rsidRPr="00000BBA" w:rsidRDefault="00E5386E" w:rsidP="00000BBA">
      <w:pPr>
        <w:contextualSpacing/>
        <w:rPr>
          <w:i/>
          <w:u w:val="single"/>
        </w:rPr>
      </w:pPr>
      <w:r w:rsidRPr="00000BBA">
        <w:rPr>
          <w:i/>
          <w:u w:val="single"/>
        </w:rPr>
        <w:t>Eğitimin İçeriği: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İnsan Kaynakları Yönetim sistemi ve uygulamalarının işveren haklarına etkisi,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İşyerinde eğitim sisteminin kurulması ve çıkarma süreçlerine etkisi,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İhbar süreleri, kötü niyet tazminatı ve eşitlik ilkesine aykırılık tazminatları,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Alt işveren personel çalıştırmada işveren hakları,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Arabulucu görüşmelerinde işveren hakları nedir, nasıl kullanır?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Arabulucu ve mahkemelerde işverenin ispat yükümlülüğü için yapılacak çalışmalar,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Çalışma şekillerine göre bordro düzenleme, işverenin tarafından yapılan hatalar,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Değişen kanun ve mevzuatlara göre alınacak aksiyonlar,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Deneme ve değerlendirme dönemi işverenin alması gereken tedbirler ve uygulamalar,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Fazla çalışma süreçleri, denkleştirme ve serbest zaman kullandırma,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Günlük çalışma şeklini belirleme mola ve yemek süreçleri,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Haklı nedenle fesihlerde işverenin yönetim hakkı ve sonuçları,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İhbar süresi kullandırılması, ücretinin geri alınması, iş arama izni kullandırılması,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 davaları açılmaması için işveren yönetim hakları uygulamaları,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 müfettişlerinin tarafından denetimlerde sorulan sorular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 sağlığı ve güvenliği konusunda işveren yönetim hakkı, uyulması gereken kurallar,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İşçinin İş-</w:t>
      </w:r>
      <w:proofErr w:type="spellStart"/>
      <w:r>
        <w:t>kur’a</w:t>
      </w:r>
      <w:proofErr w:type="spellEnd"/>
      <w:r>
        <w:t xml:space="preserve"> bildirimi, karakola bildirilmesi ve diğer yükümlülükler, cezai yaptırımlar,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İşçinin sözleşmesine geçerli nedenler ile son verilmesi,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İşe iade davalarından işverenin yönetim hakkı ve uygulaması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İşe tekrar giren işçinin haklarında işverenin yönetim hakları nedir?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İşten çıkış bildirimi, GSS bildirimi, rapor bildirimlerinde</w:t>
      </w:r>
      <w:r w:rsidR="00000BBA">
        <w:t xml:space="preserve"> işveren yükümlülükleri ve </w:t>
      </w:r>
      <w:proofErr w:type="spellStart"/>
      <w:r w:rsidR="00000BBA">
        <w:t>İPC’</w:t>
      </w:r>
      <w:r>
        <w:t>dan</w:t>
      </w:r>
      <w:proofErr w:type="spellEnd"/>
      <w:r>
        <w:t xml:space="preserve"> kurtulma çalışmaları,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İşveren yönetim hakkını kullanması, organizasyon, görev tanımları, iş analizlerinin önemi,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İşverenin çalışma döneminde işçiyi yönetim hakkı ve sonuçları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İşverenin yeni başlayan personeli değerlendirme süreçlerindeki hakları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İşverenin yönetim haklarının kullanımında yönetici İK ve iş hukuku eğitimleri,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İşverenin zorunlu mesai konusunda yönetim hakkı,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İşyeri yönetimi ve denetim konularında işverenleri yönetim hakları,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Kıdem ve ihbar tazminat ödeme şekilleri ve işveren yönetim hakkı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Kıdem ve ihbar tazminatı ödemede yapılan hatalar, sonuçları,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Kimlik verileri koruma kanuna göre işveren riskleri, alınması gereken tedbirler,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Kümülatif vergi matrahının işçi maliyetlerine etkisi, yasal dayanaklar,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Özel Sağlık, BES, zorunlu BES uygulamaların yapılan hatalar,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Personel yönetiminde işverenin kullanması gereken haklar, işçinin aykırı davranışlarına karşı</w:t>
      </w:r>
      <w:r w:rsidR="00000BBA">
        <w:t xml:space="preserve"> </w:t>
      </w:r>
      <w:r>
        <w:t>alınacak tedbirler,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 xml:space="preserve">Savunma alma, uyarı, ihtar, ücret kesme ve işe son verme </w:t>
      </w:r>
      <w:proofErr w:type="gramStart"/>
      <w:r>
        <w:t>prosedürleri</w:t>
      </w:r>
      <w:proofErr w:type="gramEnd"/>
      <w:r>
        <w:t xml:space="preserve"> ve zamanları,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SGK ve Çalışma Bakanlığı denetiminde işverenin etkin dokümantasyon ile ceza almaması,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lastRenderedPageBreak/>
        <w:t>Son yıllarda yasalarda yapılan değişiklikler personel yönetimine etkileri ve sonuçları,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Temel iş hukukunda hak düşürücü süreler ve çalışan ilişkilerinin yönetimdeki önemi,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Ücret bordrosu düzenlemede işverenin yönetim hakları,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Yıllık izin kullanımında işveren yönetim hakları, nasıl kullanılır, işçinin uyma zorunluluğu,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Yöneticilerin iş sözleşmesine konacak özel hükümler, iş güvencesi, fazla mesai,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 sözleşmesinde işvereni koruyan maddeler,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İş sözleşmesi şekillerine göre farklılıklar, kıdem tazminatı, yıllık izinler, ihbar tazminatı, ücret,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Çalışma koşullarında değişikliğin sınırı nedir? İşverenin sorumlulukları nelerdir?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Raporlu personel bordro ve ücret uygulamalarında şirket maliyetleri nasıl azaltılır?</w:t>
      </w:r>
    </w:p>
    <w:p w:rsidR="00E5386E" w:rsidRDefault="00E5386E" w:rsidP="00000BBA">
      <w:pPr>
        <w:pStyle w:val="ListeParagraf"/>
        <w:numPr>
          <w:ilvl w:val="0"/>
          <w:numId w:val="1"/>
        </w:numPr>
      </w:pPr>
      <w:r>
        <w:t>Doğum öncesi, sonrası izinler, ücretsiz doğum izni kullanılması kıdem ve ihbar hesaplarına</w:t>
      </w:r>
      <w:r w:rsidR="00000BBA">
        <w:t xml:space="preserve"> </w:t>
      </w:r>
      <w:r>
        <w:t>etkisi,</w:t>
      </w:r>
    </w:p>
    <w:p w:rsidR="00E5386E" w:rsidRDefault="00E5386E" w:rsidP="00000BBA">
      <w:pPr>
        <w:contextualSpacing/>
      </w:pPr>
      <w:r>
        <w:t>Yukarıda yer verilen içe</w:t>
      </w:r>
      <w:r w:rsidR="00000BBA">
        <w:t>rikler dışında eğitime katılan y</w:t>
      </w:r>
      <w:r>
        <w:t>önetici ve uzmanlar tarafından SG</w:t>
      </w:r>
      <w:r w:rsidR="00000BBA">
        <w:t xml:space="preserve">K ve İş Kanunu </w:t>
      </w:r>
      <w:r>
        <w:t>uygulamaları konularınd</w:t>
      </w:r>
      <w:r w:rsidR="00000BBA">
        <w:t>a örnek Yargıtay Kararları ile ö</w:t>
      </w:r>
      <w:r>
        <w:t>rnek vakalar ve çözümlere yer verilecektir.</w:t>
      </w:r>
    </w:p>
    <w:p w:rsidR="00000BBA" w:rsidRDefault="00000BBA" w:rsidP="00000BBA">
      <w:pPr>
        <w:contextualSpacing/>
      </w:pPr>
    </w:p>
    <w:p w:rsidR="00E5386E" w:rsidRPr="00000BBA" w:rsidRDefault="00E5386E" w:rsidP="00000BBA">
      <w:pPr>
        <w:contextualSpacing/>
        <w:rPr>
          <w:i/>
          <w:u w:val="single"/>
        </w:rPr>
      </w:pPr>
      <w:r w:rsidRPr="00000BBA">
        <w:rPr>
          <w:i/>
          <w:u w:val="single"/>
        </w:rPr>
        <w:t>ŞAKİR GÜLSEVER</w:t>
      </w:r>
    </w:p>
    <w:p w:rsidR="00E5386E" w:rsidRDefault="00E5386E" w:rsidP="00000BBA">
      <w:pPr>
        <w:contextualSpacing/>
      </w:pPr>
      <w:r>
        <w:t>Ankara Üniversitesi – İşletme Muhasebe bölümü mezun olduktan sonra, 1974 yılında Orman Genel</w:t>
      </w:r>
      <w:r w:rsidR="00000BBA">
        <w:t xml:space="preserve"> </w:t>
      </w:r>
      <w:r>
        <w:t>Müdürlüğünde Muhasebeci olarak işe başlamıştır. 1977-1984 yı</w:t>
      </w:r>
      <w:r w:rsidR="00000BBA">
        <w:t xml:space="preserve">lları arasında WAT Motor Sanayi </w:t>
      </w:r>
      <w:r>
        <w:t>Muhasebe Müdür Yardımcısı, 1985-1987 yıllarında İBAN İlaç Sanayi</w:t>
      </w:r>
      <w:r w:rsidR="00000BBA">
        <w:t xml:space="preserve"> </w:t>
      </w:r>
      <w:proofErr w:type="spellStart"/>
      <w:r w:rsidR="00000BBA">
        <w:t>A.Ş.’de</w:t>
      </w:r>
      <w:proofErr w:type="spellEnd"/>
      <w:r w:rsidR="00000BBA">
        <w:t xml:space="preserve"> Muhasebe Müdürü olarak </w:t>
      </w:r>
      <w:r>
        <w:t>çalışmıştır. 1987-1993 yıllarında Sabah Yayıncılık A.Ş. / ATV Prod</w:t>
      </w:r>
      <w:r w:rsidR="00000BBA">
        <w:t xml:space="preserve">üksiyon </w:t>
      </w:r>
      <w:proofErr w:type="spellStart"/>
      <w:r w:rsidR="00000BBA">
        <w:t>A.Ş.’de</w:t>
      </w:r>
      <w:proofErr w:type="spellEnd"/>
      <w:r w:rsidR="00000BBA">
        <w:t xml:space="preserve"> Muhasebe Müdürü </w:t>
      </w:r>
      <w:r>
        <w:t>olarak görev yapm</w:t>
      </w:r>
      <w:r w:rsidR="00000BBA">
        <w:t>ış. Medya Holding A.Ş.ve bağlı ş</w:t>
      </w:r>
      <w:r>
        <w:t xml:space="preserve">irketlerin Muhasebe Müdürü, </w:t>
      </w:r>
      <w:r w:rsidR="00000BBA">
        <w:t>Mali İşler Koordinatör Y</w:t>
      </w:r>
      <w:r>
        <w:t xml:space="preserve">ardımcısı ve </w:t>
      </w:r>
      <w:r w:rsidR="00175D71">
        <w:t>Mali M</w:t>
      </w:r>
      <w:r w:rsidR="00000BBA">
        <w:t>üşavir</w:t>
      </w:r>
      <w:r w:rsidR="00175D71">
        <w:t>i</w:t>
      </w:r>
      <w:r w:rsidR="00000BBA">
        <w:t xml:space="preserve"> </w:t>
      </w:r>
      <w:r>
        <w:t>olarak görev yapmıştır.</w:t>
      </w:r>
    </w:p>
    <w:p w:rsidR="00E5386E" w:rsidRDefault="00E5386E" w:rsidP="00000BBA">
      <w:pPr>
        <w:contextualSpacing/>
      </w:pPr>
      <w:proofErr w:type="gramStart"/>
      <w:r>
        <w:t xml:space="preserve">1993-2002 Yılları arasında </w:t>
      </w:r>
      <w:r w:rsidR="00000BBA">
        <w:t xml:space="preserve">Medya Holding A.Ş. </w:t>
      </w:r>
      <w:r>
        <w:t>bünyesinde 20 şirke</w:t>
      </w:r>
      <w:r w:rsidR="00000BBA">
        <w:t xml:space="preserve">tin tüm grup personelinin İnsan </w:t>
      </w:r>
      <w:r>
        <w:t xml:space="preserve">Kaynakları ve personel özlük işlerinden sorumlu İnsan Kaynakları Koordinatörü olarak </w:t>
      </w:r>
      <w:r w:rsidR="00000BBA">
        <w:t xml:space="preserve">görev yaptı, </w:t>
      </w:r>
      <w:r>
        <w:t>2002 ile 2005 yılları arasında ise Sabah Gazetesi ve ATV Televizyonu</w:t>
      </w:r>
      <w:r w:rsidR="00000BBA">
        <w:t xml:space="preserve">nu bünyesine katan Merkez Yayın </w:t>
      </w:r>
      <w:r w:rsidR="00175D71">
        <w:t>Holding A.Ş.’ de insan k</w:t>
      </w:r>
      <w:r>
        <w:t>aynaklarından sorumlu Genel Müdür Yardımcı</w:t>
      </w:r>
      <w:r w:rsidR="00175D71">
        <w:t xml:space="preserve">sı olarak görev yaptıktan sonra </w:t>
      </w:r>
      <w:r>
        <w:t>2005 yılında Merkez Yayın Holding’ den ayrılarak danışmanlık şirketini kurmuştur.</w:t>
      </w:r>
      <w:proofErr w:type="gramEnd"/>
    </w:p>
    <w:p w:rsidR="00175D71" w:rsidRDefault="00175D71" w:rsidP="00000BBA">
      <w:pPr>
        <w:contextualSpacing/>
      </w:pPr>
    </w:p>
    <w:p w:rsidR="00E5386E" w:rsidRPr="00175D71" w:rsidRDefault="00175D71" w:rsidP="00000BBA">
      <w:pPr>
        <w:contextualSpacing/>
        <w:rPr>
          <w:i/>
          <w:u w:val="single"/>
        </w:rPr>
      </w:pPr>
      <w:r w:rsidRPr="00175D71">
        <w:rPr>
          <w:i/>
          <w:u w:val="single"/>
        </w:rPr>
        <w:t>Danışmanlık Ve Hizmetler</w:t>
      </w:r>
    </w:p>
    <w:p w:rsidR="00E5386E" w:rsidRDefault="00175D71" w:rsidP="00000BBA">
      <w:pPr>
        <w:contextualSpacing/>
      </w:pPr>
      <w:r>
        <w:t>Sabah Grubunda çalıştığı çalışma sürecinde insan k</w:t>
      </w:r>
      <w:r w:rsidR="00E5386E">
        <w:t>aynakları dı</w:t>
      </w:r>
      <w:r>
        <w:t xml:space="preserve">şında grubun, yatırım projeleri </w:t>
      </w:r>
      <w:r w:rsidR="00E5386E">
        <w:t>danışmanlığı, yatı</w:t>
      </w:r>
      <w:r>
        <w:t>rı</w:t>
      </w:r>
      <w:r w:rsidR="00E5386E">
        <w:t xml:space="preserve">mla ve diğer işlerle ilgili koordinasyonlar ve hukuki süreçleri yönetmiştir. </w:t>
      </w:r>
      <w:proofErr w:type="gramStart"/>
      <w:r w:rsidR="00E5386E">
        <w:t>Grubu</w:t>
      </w:r>
      <w:r>
        <w:t>n insan kaynakları yapılanmaları, organizasyon çalışmaları, performans yönetim s</w:t>
      </w:r>
      <w:r w:rsidR="00E5386E">
        <w:t>istemi kurulması</w:t>
      </w:r>
      <w:r>
        <w:t xml:space="preserve">, </w:t>
      </w:r>
      <w:r w:rsidR="00E5386E">
        <w:t>yöneticiler için seminer düzenlenmesi, 4857 sayılı iş kanunun</w:t>
      </w:r>
      <w:r>
        <w:t>un</w:t>
      </w:r>
      <w:r w:rsidR="00E5386E">
        <w:t xml:space="preserve"> şirket uy</w:t>
      </w:r>
      <w:r>
        <w:t xml:space="preserve">gulamalarının yapılması, yasaya </w:t>
      </w:r>
      <w:r w:rsidR="00E5386E">
        <w:t>uygun sözleşmeler hazırlanması, İş Hukuku ve diğer me</w:t>
      </w:r>
      <w:r>
        <w:t>vzuatlar konusunda çalışmalar, işçi–işveren ilişkileri, asıl işveren-alt işveren ilişkileri (t</w:t>
      </w:r>
      <w:r w:rsidR="00E5386E">
        <w:t>aşeron) yönetimi, işlerin</w:t>
      </w:r>
      <w:r>
        <w:t xml:space="preserve">i yönetmiş ve halen danışmanlık </w:t>
      </w:r>
      <w:r w:rsidR="00E5386E">
        <w:t>yaptığı şirketlerde bu hizmetleri vermeye devam etmektedir.</w:t>
      </w:r>
      <w:proofErr w:type="gramEnd"/>
    </w:p>
    <w:p w:rsidR="00E5386E" w:rsidRDefault="00E5386E" w:rsidP="00000BBA">
      <w:pPr>
        <w:contextualSpacing/>
      </w:pPr>
      <w:r>
        <w:t xml:space="preserve">Danışmanlık </w:t>
      </w:r>
      <w:r w:rsidR="00175D71">
        <w:t xml:space="preserve">yapmaya başladıktan sonra Sabah Gazetesi, ATV, Merkez Dergi, Merkez Reklam, Merkez Teknik gibi şirketlere </w:t>
      </w:r>
      <w:r>
        <w:t>danışmanlık ve hizmetleri vermiştir. Ş</w:t>
      </w:r>
      <w:r w:rsidR="00175D71">
        <w:t xml:space="preserve">irketlere, bireysel ve kurumsal </w:t>
      </w:r>
      <w:r>
        <w:t>eğitimler v</w:t>
      </w:r>
      <w:r w:rsidR="00175D71">
        <w:t>ermekte, danışmanlık yapmakta, insan k</w:t>
      </w:r>
      <w:r>
        <w:t>aynakları y</w:t>
      </w:r>
      <w:r w:rsidR="00175D71">
        <w:t xml:space="preserve">önetimi konusunda ve mevzuat </w:t>
      </w:r>
      <w:r>
        <w:t>konusunda danışmanlık hizmetleri vermektedir. KOSGEB veri taba</w:t>
      </w:r>
      <w:r w:rsidR="00175D71">
        <w:t xml:space="preserve">nında İnsan Kaynakları Yönetimi </w:t>
      </w:r>
      <w:r>
        <w:t>konularında danışman olarak yer almaktadır.</w:t>
      </w:r>
    </w:p>
    <w:p w:rsidR="00E5386E" w:rsidRDefault="00E5386E" w:rsidP="00000BBA">
      <w:pPr>
        <w:contextualSpacing/>
      </w:pPr>
      <w:proofErr w:type="gramStart"/>
      <w:r>
        <w:t xml:space="preserve">Merkez Yayın Holding A.Ş Grubu Şirketleri (Sabah-ATV), Ömür Matbaacılık A.Ş, Ömür Etiket </w:t>
      </w:r>
      <w:r w:rsidR="00175D71">
        <w:t xml:space="preserve">Ve Ambalaj </w:t>
      </w:r>
      <w:r>
        <w:t xml:space="preserve">Sanayi A.Ş, İstanbul Tersanesi, </w:t>
      </w:r>
      <w:proofErr w:type="spellStart"/>
      <w:r>
        <w:t>Gürsaş</w:t>
      </w:r>
      <w:proofErr w:type="spellEnd"/>
      <w:r>
        <w:t xml:space="preserve"> Elektronik Cihazlar A.Ş</w:t>
      </w:r>
      <w:r w:rsidR="00175D71">
        <w:t xml:space="preserve">, Merkez Tercüman Gazetesi, SNR </w:t>
      </w:r>
      <w:r>
        <w:t xml:space="preserve">Holding, Data </w:t>
      </w:r>
      <w:r w:rsidR="00175D71">
        <w:t xml:space="preserve">Market Bilgi Hizmetleri, </w:t>
      </w:r>
      <w:proofErr w:type="spellStart"/>
      <w:r w:rsidR="00175D71">
        <w:t>İnter</w:t>
      </w:r>
      <w:proofErr w:type="spellEnd"/>
      <w:r w:rsidR="00175D71">
        <w:t xml:space="preserve"> P</w:t>
      </w:r>
      <w:r>
        <w:t xml:space="preserve">lastik Ltd. Şti, </w:t>
      </w:r>
      <w:proofErr w:type="spellStart"/>
      <w:r>
        <w:t>Politeknik</w:t>
      </w:r>
      <w:proofErr w:type="spellEnd"/>
      <w:r>
        <w:t xml:space="preserve"> </w:t>
      </w:r>
      <w:r w:rsidR="00175D71">
        <w:t>Metal Sanayi ve Tic. A.Ş, Yapı-</w:t>
      </w:r>
      <w:r>
        <w:t>Endüstrisi A.Ş, Türkiye Diyanet Vakfı ve diğer şirketlerde yapılanma çalışmaları devam etmektedir.</w:t>
      </w:r>
      <w:proofErr w:type="gramEnd"/>
    </w:p>
    <w:p w:rsidR="00E5386E" w:rsidRDefault="00E5386E" w:rsidP="00000BBA">
      <w:pPr>
        <w:contextualSpacing/>
      </w:pPr>
      <w:r>
        <w:t>Danışman olarak, 2005</w:t>
      </w:r>
      <w:r w:rsidR="00175D71">
        <w:t xml:space="preserve"> yılından itibaren şirketlerde insan kaynakları y</w:t>
      </w:r>
      <w:r>
        <w:t>apılanmalar</w:t>
      </w:r>
      <w:r w:rsidR="00175D71">
        <w:t xml:space="preserve">ı, eğitimler </w:t>
      </w:r>
      <w:r>
        <w:t xml:space="preserve">konusunda Türkiye’nin önde gelen kuruluşlarına bireysel </w:t>
      </w:r>
      <w:r w:rsidR="00175D71">
        <w:t xml:space="preserve">ve kurumsal hizmet vermektedir. Firmalara </w:t>
      </w:r>
      <w:r>
        <w:t>4857 sayılı İş Kanunu uygulamaları, 5510 sayılı Sosyal Güvenlik Yasası v</w:t>
      </w:r>
      <w:r w:rsidR="00175D71">
        <w:t xml:space="preserve">e İnsan Kaynakları uygulamaları </w:t>
      </w:r>
      <w:r>
        <w:t>konusunda e-danışmanlık, yerinde danı</w:t>
      </w:r>
      <w:r w:rsidR="00175D71">
        <w:t xml:space="preserve">şmanlık hizmetleri vermektedir. </w:t>
      </w:r>
      <w:r>
        <w:t>2011 yılından bu yana iş hukuku, sosyal güvenlik kanunu (bordro s</w:t>
      </w:r>
      <w:r w:rsidR="00000BBA">
        <w:t xml:space="preserve">üreçleri </w:t>
      </w:r>
      <w:proofErr w:type="gramStart"/>
      <w:r w:rsidR="00000BBA">
        <w:t>dahil</w:t>
      </w:r>
      <w:proofErr w:type="gramEnd"/>
      <w:r w:rsidR="00000BBA">
        <w:t xml:space="preserve"> olmak üzere) ile ilgili iş davalarında b</w:t>
      </w:r>
      <w:r>
        <w:t>ilirkişilik yapmaktadır.</w:t>
      </w:r>
    </w:p>
    <w:p w:rsidR="00E5386E" w:rsidRDefault="00E5386E" w:rsidP="00000BBA">
      <w:pPr>
        <w:contextualSpacing/>
      </w:pPr>
      <w:r>
        <w:t>Mesleki konularda yazılarını www.sakirgulsever.com internet sit</w:t>
      </w:r>
      <w:r w:rsidR="00000BBA">
        <w:t xml:space="preserve">esinde ve diğer web sitelerinde </w:t>
      </w:r>
      <w:r>
        <w:t>yayınlamaktadır.</w:t>
      </w:r>
    </w:p>
    <w:p w:rsidR="00E5386E" w:rsidRPr="00DE71BE" w:rsidRDefault="00E5386E" w:rsidP="00000BBA">
      <w:pPr>
        <w:contextualSpacing/>
        <w:rPr>
          <w:i/>
          <w:u w:val="single"/>
        </w:rPr>
      </w:pPr>
      <w:r w:rsidRPr="00DE71BE">
        <w:rPr>
          <w:i/>
          <w:u w:val="single"/>
        </w:rPr>
        <w:t>Eğitim Tecrübesi:</w:t>
      </w:r>
    </w:p>
    <w:p w:rsidR="00E5386E" w:rsidRDefault="00E5386E" w:rsidP="00000BBA">
      <w:pPr>
        <w:contextualSpacing/>
      </w:pPr>
      <w:r>
        <w:t>Türkiye’nin 21 şehrinde 250’den fazla eğitimde 10.000’den fazla ki</w:t>
      </w:r>
      <w:r w:rsidR="00000BBA">
        <w:t xml:space="preserve">şiye iş hukuku, sosyal güvenlik </w:t>
      </w:r>
      <w:r>
        <w:t>kanunu, özlük işleri, bordro, iş sağlığı ve güvenliği konularında eğitimler vermi</w:t>
      </w:r>
      <w:r w:rsidR="00000BBA">
        <w:t xml:space="preserve">ştir. 109 dönem </w:t>
      </w:r>
      <w:r>
        <w:t xml:space="preserve">“Personel Özlük İşleri ve Bordro Uzmanlığı Sertifika Programı” </w:t>
      </w:r>
      <w:proofErr w:type="spellStart"/>
      <w:r>
        <w:t>nın</w:t>
      </w:r>
      <w:proofErr w:type="spellEnd"/>
      <w:r>
        <w:t xml:space="preserve"> eğitimciliğini yapmıştır.</w:t>
      </w:r>
    </w:p>
    <w:p w:rsidR="00E5386E" w:rsidRPr="00DE71BE" w:rsidRDefault="00E5386E" w:rsidP="00000BBA">
      <w:pPr>
        <w:contextualSpacing/>
        <w:rPr>
          <w:i/>
          <w:u w:val="single"/>
        </w:rPr>
      </w:pPr>
      <w:bookmarkStart w:id="0" w:name="_GoBack"/>
      <w:r w:rsidRPr="00DE71BE">
        <w:rPr>
          <w:i/>
          <w:u w:val="single"/>
        </w:rPr>
        <w:lastRenderedPageBreak/>
        <w:t>Eğitim Verdiği Kuruluşlardan Birkaçı;</w:t>
      </w:r>
    </w:p>
    <w:bookmarkEnd w:id="0"/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B/S/H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</w:t>
      </w:r>
      <w:proofErr w:type="spellStart"/>
      <w:r>
        <w:t>Coca</w:t>
      </w:r>
      <w:proofErr w:type="spellEnd"/>
      <w:r>
        <w:t xml:space="preserve"> Cola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</w:t>
      </w:r>
      <w:proofErr w:type="spellStart"/>
      <w:r>
        <w:t>Farplas</w:t>
      </w:r>
      <w:proofErr w:type="spellEnd"/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</w:t>
      </w:r>
      <w:proofErr w:type="spellStart"/>
      <w:r>
        <w:t>Faurecia</w:t>
      </w:r>
      <w:proofErr w:type="spellEnd"/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Ford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</w:t>
      </w:r>
      <w:proofErr w:type="spellStart"/>
      <w:r>
        <w:t>Havelsan</w:t>
      </w:r>
      <w:proofErr w:type="spellEnd"/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İSTAÇ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Koç Holding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LC </w:t>
      </w:r>
      <w:proofErr w:type="spellStart"/>
      <w:r>
        <w:t>Waikiki</w:t>
      </w:r>
      <w:proofErr w:type="spellEnd"/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Mercedes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Pirelli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Sütaş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TPAO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</w:t>
      </w:r>
      <w:proofErr w:type="spellStart"/>
      <w:r>
        <w:t>Tüpraş</w:t>
      </w:r>
      <w:proofErr w:type="spellEnd"/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Türk Hava Kurumu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Vestel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VLE Elektronik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Yapı Kredi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Zorlu Enerji</w:t>
      </w:r>
    </w:p>
    <w:p w:rsidR="00E5386E" w:rsidRDefault="00E5386E" w:rsidP="00000BBA">
      <w:pPr>
        <w:contextualSpacing/>
      </w:pPr>
      <w:r>
        <w:rPr>
          <w:rFonts w:ascii="MS Gothic" w:eastAsia="MS Gothic" w:hAnsi="MS Gothic" w:cs="MS Gothic" w:hint="eastAsia"/>
        </w:rPr>
        <w:t>✓</w:t>
      </w:r>
      <w:r>
        <w:t xml:space="preserve"> Zorlu Tekstil</w:t>
      </w:r>
    </w:p>
    <w:p w:rsidR="001B43B3" w:rsidRPr="00E5386E" w:rsidRDefault="001B43B3" w:rsidP="00000BBA">
      <w:pPr>
        <w:contextualSpacing/>
      </w:pPr>
    </w:p>
    <w:sectPr w:rsidR="001B43B3" w:rsidRPr="00E5386E" w:rsidSect="00000BBA">
      <w:pgSz w:w="11906" w:h="16838"/>
      <w:pgMar w:top="426" w:right="849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3C" w:rsidRDefault="0034633C" w:rsidP="00E5386E">
      <w:pPr>
        <w:spacing w:after="0" w:line="240" w:lineRule="auto"/>
      </w:pPr>
      <w:r>
        <w:separator/>
      </w:r>
    </w:p>
  </w:endnote>
  <w:endnote w:type="continuationSeparator" w:id="0">
    <w:p w:rsidR="0034633C" w:rsidRDefault="0034633C" w:rsidP="00E5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3C" w:rsidRDefault="0034633C" w:rsidP="00E5386E">
      <w:pPr>
        <w:spacing w:after="0" w:line="240" w:lineRule="auto"/>
      </w:pPr>
      <w:r>
        <w:separator/>
      </w:r>
    </w:p>
  </w:footnote>
  <w:footnote w:type="continuationSeparator" w:id="0">
    <w:p w:rsidR="0034633C" w:rsidRDefault="0034633C" w:rsidP="00E53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BB3"/>
    <w:multiLevelType w:val="hybridMultilevel"/>
    <w:tmpl w:val="AEA0B9A4"/>
    <w:lvl w:ilvl="0" w:tplc="041F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6E"/>
    <w:rsid w:val="00000BBA"/>
    <w:rsid w:val="00104654"/>
    <w:rsid w:val="00175D71"/>
    <w:rsid w:val="001B43B3"/>
    <w:rsid w:val="00266A13"/>
    <w:rsid w:val="00330D4D"/>
    <w:rsid w:val="0034633C"/>
    <w:rsid w:val="00A12327"/>
    <w:rsid w:val="00CA6D4D"/>
    <w:rsid w:val="00CD2CF2"/>
    <w:rsid w:val="00DE71BE"/>
    <w:rsid w:val="00E5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386E"/>
  </w:style>
  <w:style w:type="paragraph" w:styleId="Altbilgi">
    <w:name w:val="footer"/>
    <w:basedOn w:val="Normal"/>
    <w:link w:val="AltbilgiChar"/>
    <w:uiPriority w:val="99"/>
    <w:unhideWhenUsed/>
    <w:rsid w:val="00E5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386E"/>
  </w:style>
  <w:style w:type="paragraph" w:styleId="ListeParagraf">
    <w:name w:val="List Paragraph"/>
    <w:basedOn w:val="Normal"/>
    <w:uiPriority w:val="34"/>
    <w:qFormat/>
    <w:rsid w:val="00E53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386E"/>
  </w:style>
  <w:style w:type="paragraph" w:styleId="Altbilgi">
    <w:name w:val="footer"/>
    <w:basedOn w:val="Normal"/>
    <w:link w:val="AltbilgiChar"/>
    <w:uiPriority w:val="99"/>
    <w:unhideWhenUsed/>
    <w:rsid w:val="00E5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386E"/>
  </w:style>
  <w:style w:type="paragraph" w:styleId="ListeParagraf">
    <w:name w:val="List Paragraph"/>
    <w:basedOn w:val="Normal"/>
    <w:uiPriority w:val="34"/>
    <w:qFormat/>
    <w:rsid w:val="00E53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Kibar</dc:creator>
  <cp:lastModifiedBy>Nalan Kibar</cp:lastModifiedBy>
  <cp:revision>4</cp:revision>
  <dcterms:created xsi:type="dcterms:W3CDTF">2019-11-29T08:20:00Z</dcterms:created>
  <dcterms:modified xsi:type="dcterms:W3CDTF">2019-11-29T09:28:00Z</dcterms:modified>
</cp:coreProperties>
</file>